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1261" w:right="1621" w:firstLine="0"/>
        <w:jc w:val="center"/>
        <w:rPr/>
      </w:pPr>
      <w:r w:rsidDel="00000000" w:rsidR="00000000" w:rsidRPr="00000000">
        <w:rPr>
          <w:color w:val="001f5f"/>
          <w:rtl w:val="0"/>
        </w:rPr>
        <w:t xml:space="preserve">UCD Gender Equality and Equality, Diversity &amp; Inclusion Accelerator Fund</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0" w:hanging="361"/>
        <w:jc w:val="left"/>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60" w:right="45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UCD Gender Equality and Equality, Diversity &amp; Inclusion (EDI) Accelerator Fund has been established to support UCD Schools which have successfully achieved an Athena SWAN accreditation to pilot innovative actions from their respective gender equality action plans in partnership with other UCD Schools. In addition to gender equality, an EDI dimension is now included in the new Athena SWAN Ireland Charter Framework launched in November 2021.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460" w:right="4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UCD Schools are implementing ambitious action plans, progressing to renewing their bronze level award, demonstrating progress, and applying for a silver accreditation which requires schools to demonstrate the impact of implementing gender equality action plans.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60" w:right="45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central UCD Gender Equality and Equality, Diversity &amp; Inclusion (EDI) Accelerator Fund recognises and supports Athena SWAN accredited Schools in UCD which have demonstrated considerable commitment to the Athena SWAN process, resources, and leadership in producing, and implementing an evidence-based gender equality action plan.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460" w:right="45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innovative projects that evaluate impact will accelerate gender equality and diversity and inclusion best practice, more broadly, in Schools and Colleges and both support the implementation of University level initiatives and facilitate the adoption of successful School level initiatives University-wide where appropriate. This will support the University’s ambition to foster greater alignment with the UCD Gender Equality Action Plan and EDI Strategy.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numPr>
          <w:ilvl w:val="0"/>
          <w:numId w:val="2"/>
        </w:numPr>
        <w:tabs>
          <w:tab w:val="left" w:leader="none" w:pos="821"/>
        </w:tabs>
        <w:ind w:left="820" w:hanging="361"/>
        <w:rPr/>
      </w:pPr>
      <w:r w:rsidDel="00000000" w:rsidR="00000000" w:rsidRPr="00000000">
        <w:rPr>
          <w:rtl w:val="0"/>
        </w:rPr>
        <w:t xml:space="preserve">Background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460" w:right="45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UCD Athena SWAN Schools programme has matured and expanded since its launch in November 2017. 25 UCD Schools are accredited and implementing gender equality action plans. A key recommendation from a recent strategic review of the UCD Athena SWAN Schools programme was to establish an accelerator fund to meet the requirements of objective four of the review and demonstrate the University’s ongoing commitment to supporting Schools achieve gender equality and inclusion in their environments.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460" w:right="4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fund complements the Higher Education Authority (HEA) sectoral approach to promote the attainment of equality of opportunity via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Gender Equality Enhancement Fund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recognises that, in addition to the organisational and culture change initiatives, the incentivisation of progress on gender equality targets through funding mechanisms is needed. The Fund also compliments the existing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UCD Research Seed Funding, Diversity Strand</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focuses on funding research related to Equality, Diversity and Inclusion.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828800" cy="12700"/>
                <wp:effectExtent b="0" l="0" r="0" t="0"/>
                <wp:wrapTopAndBottom distB="0" distT="0"/>
                <wp:docPr id="2" name=""/>
                <a:graphic>
                  <a:graphicData uri="http://schemas.microsoft.com/office/word/2010/wordprocessingShape">
                    <wps:wsp>
                      <wps:cNvSpPr/>
                      <wps:cNvPr id="3" name="Shape 3"/>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82880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14">
      <w:pPr>
        <w:spacing w:before="71" w:lineRule="auto"/>
        <w:ind w:left="100" w:firstLine="0"/>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Further information available on the HEA’s Gender Equality Enhancement Fund webpage.</w:t>
      </w:r>
    </w:p>
    <w:p w:rsidR="00000000" w:rsidDel="00000000" w:rsidP="00000000" w:rsidRDefault="00000000" w:rsidRPr="00000000" w14:paraId="00000015">
      <w:pPr>
        <w:ind w:left="100" w:firstLine="0"/>
        <w:rPr>
          <w:sz w:val="20"/>
          <w:szCs w:val="20"/>
        </w:rPr>
        <w:sectPr>
          <w:headerReference r:id="rId7" w:type="default"/>
          <w:footerReference r:id="rId8" w:type="default"/>
          <w:pgSz w:h="16840" w:w="11910" w:orient="portrait"/>
          <w:pgMar w:bottom="1120" w:top="1660" w:left="1340" w:right="980" w:header="562" w:footer="920"/>
          <w:pgNumType w:start="1"/>
        </w:sectPr>
      </w:pPr>
      <w:r w:rsidDel="00000000" w:rsidR="00000000" w:rsidRPr="00000000">
        <w:rPr>
          <w:sz w:val="20"/>
          <w:szCs w:val="20"/>
          <w:vertAlign w:val="superscript"/>
          <w:rtl w:val="0"/>
        </w:rPr>
        <w:t xml:space="preserve">2</w:t>
      </w:r>
      <w:r w:rsidDel="00000000" w:rsidR="00000000" w:rsidRPr="00000000">
        <w:rPr>
          <w:sz w:val="20"/>
          <w:szCs w:val="20"/>
          <w:rtl w:val="0"/>
        </w:rPr>
        <w:t xml:space="preserve"> Further information available on UCD Research’s webpage: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numPr>
          <w:ilvl w:val="0"/>
          <w:numId w:val="2"/>
        </w:numPr>
        <w:tabs>
          <w:tab w:val="left" w:leader="none" w:pos="821"/>
        </w:tabs>
        <w:spacing w:before="56" w:lineRule="auto"/>
        <w:ind w:left="820" w:hanging="361"/>
        <w:rPr/>
      </w:pPr>
      <w:r w:rsidDel="00000000" w:rsidR="00000000" w:rsidRPr="00000000">
        <w:rPr>
          <w:rtl w:val="0"/>
        </w:rPr>
        <w:t xml:space="preserve">Objectives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objectives of the UCD Gender Equality EDI Accelerator Fund are to:</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61" w:line="240" w:lineRule="auto"/>
        <w:ind w:left="820" w:right="0" w:hanging="36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innovative approaches to addressing gender inequality;</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40" w:lineRule="auto"/>
        <w:ind w:left="820" w:right="453"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gender equality initiatives and innovative solutions that respond to the challenges and barriers identified to achieving gender equality which emerged during School/College Athena SWAN submissions;</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454"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cross-school collaboration as a means to achieve University-wide transformation in gender equality and inclusion;</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45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alignment with the UCD Gender Equality Action Plan and EDI Strategy;</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45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the funding of broader EDI activities aligned to both the UCD EDI policy and strategy and gender equality action plans and the EDI dimension that is now included in the new Athena SWAN Ireland Charter 2021;</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454"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achievement of future Athena SWAN applications - renewals, silver and gold level applications which require schools/units to demonstrate progress, impact, beacon and flagship initiatives.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2"/>
        </w:numPr>
        <w:tabs>
          <w:tab w:val="left" w:leader="none" w:pos="821"/>
        </w:tabs>
        <w:ind w:left="820" w:hanging="361"/>
        <w:rPr/>
      </w:pPr>
      <w:r w:rsidDel="00000000" w:rsidR="00000000" w:rsidRPr="00000000">
        <w:rPr>
          <w:rtl w:val="0"/>
        </w:rPr>
        <w:t xml:space="preserve">Details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59" w:lineRule="auto"/>
        <w:ind w:left="4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Fund is for innovative actions from School/College Gender Equality Action Plans. This fund would make awards across the areas:</w:t>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6"/>
        </w:tabs>
        <w:spacing w:after="0" w:before="159" w:line="240" w:lineRule="auto"/>
        <w:ind w:left="885" w:right="0" w:hanging="36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 Equality and Diversity and Inclusion capacity-building activities.</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5"/>
          <w:tab w:val="left" w:leader="none" w:pos="886"/>
        </w:tabs>
        <w:spacing w:after="0" w:before="20" w:line="240" w:lineRule="auto"/>
        <w:ind w:left="885"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 projects for development of proposals for the HEA’s Gender Equality Enhancement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8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Funds.</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6"/>
        </w:tabs>
        <w:spacing w:after="0" w:before="18" w:line="240" w:lineRule="auto"/>
        <w:ind w:left="885" w:right="0" w:hanging="36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Transforming gender and EDI research outputs into practice.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00" w:right="4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for funding under the UCD Gender Equality and Equality, Diversity &amp; Inclusion (EDI) Accelerator Fund can be made in three areas. A total fund of €15,000 is available and up to €5,000 funding is available for each area is indicated in brackets:</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1"/>
        </w:tabs>
        <w:spacing w:after="0" w:before="159" w:line="240" w:lineRule="auto"/>
        <w:ind w:left="8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 Equality, and Diversity and Inclusion capacity-building activities</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1"/>
        </w:tabs>
        <w:spacing w:after="0" w:before="17" w:line="240" w:lineRule="auto"/>
        <w:ind w:left="8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UCD Seed projects for development with a view to achieving HEA’s Gender Equality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Enhancement Funding.</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1"/>
        </w:tabs>
        <w:spacing w:after="0" w:before="17" w:line="240" w:lineRule="auto"/>
        <w:ind w:left="8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Athena SWAN capacity-building activities</w:t>
      </w:r>
    </w:p>
    <w:p w:rsidR="00000000" w:rsidDel="00000000" w:rsidP="00000000" w:rsidRDefault="00000000" w:rsidRPr="00000000" w14:paraId="0000002C">
      <w:pPr>
        <w:spacing w:before="178" w:lineRule="auto"/>
        <w:ind w:left="100" w:firstLine="0"/>
        <w:jc w:val="both"/>
        <w:rPr>
          <w:b w:val="1"/>
          <w:i w:val="1"/>
        </w:rPr>
      </w:pPr>
      <w:r w:rsidDel="00000000" w:rsidR="00000000" w:rsidRPr="00000000">
        <w:rPr>
          <w:i w:val="1"/>
          <w:rtl w:val="0"/>
        </w:rPr>
        <w:t xml:space="preserve">C</w:t>
      </w:r>
      <w:r w:rsidDel="00000000" w:rsidR="00000000" w:rsidRPr="00000000">
        <w:rPr>
          <w:b w:val="1"/>
          <w:i w:val="1"/>
          <w:rtl w:val="0"/>
        </w:rPr>
        <w:t xml:space="preserve">olleges are encouraged to match successful fund applications of up to a maximum of €5,000 for</w:t>
      </w:r>
    </w:p>
    <w:p w:rsidR="00000000" w:rsidDel="00000000" w:rsidP="00000000" w:rsidRDefault="00000000" w:rsidRPr="00000000" w14:paraId="0000002D">
      <w:pPr>
        <w:spacing w:before="21" w:lineRule="auto"/>
        <w:ind w:left="100" w:firstLine="0"/>
        <w:jc w:val="both"/>
        <w:rPr>
          <w:b w:val="1"/>
          <w:i w:val="1"/>
        </w:rPr>
      </w:pPr>
      <w:r w:rsidDel="00000000" w:rsidR="00000000" w:rsidRPr="00000000">
        <w:rPr>
          <w:b w:val="1"/>
          <w:i w:val="1"/>
          <w:rtl w:val="0"/>
        </w:rPr>
        <w:t xml:space="preserve">any one College.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4"/>
        </w:numPr>
        <w:tabs>
          <w:tab w:val="left" w:leader="none" w:pos="821"/>
        </w:tabs>
        <w:spacing w:before="56" w:lineRule="auto"/>
        <w:ind w:left="820" w:hanging="361"/>
        <w:rPr/>
      </w:pPr>
      <w:r w:rsidDel="00000000" w:rsidR="00000000" w:rsidRPr="00000000">
        <w:rPr>
          <w:rtl w:val="0"/>
        </w:rPr>
        <w:t xml:space="preserve">Requirements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should be collaborative and where feasible involve at least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two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UCD schools.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79" w:lineRule="auto"/>
        <w:ind w:left="82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lead school must hold an Athena Swan accreditation.</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9" w:lineRule="auto"/>
        <w:ind w:left="82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may make one submission as lead.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45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Schools/Units which have not yet achieved an Athena Swan accreditation may be named as a partner in the proposals in addition to the leads.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proposals must nominate a lead school for administrative and financial purposes.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820" w:right="454"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non-HEI organisations such as representative bodies or community partners may be included in proposals in addition at least two eligible schools.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54" w:lineRule="auto"/>
        <w:ind w:left="820" w:right="457"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must include information on matching funding made available at College-level to support the project.</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54" w:lineRule="auto"/>
        <w:ind w:left="820" w:right="457" w:hanging="360"/>
        <w:jc w:val="both"/>
        <w:rPr>
          <w:b w:val="0"/>
          <w:i w:val="0"/>
          <w:smallCaps w:val="0"/>
          <w:strike w:val="0"/>
          <w:color w:val="000000"/>
          <w:u w:val="none"/>
          <w:shd w:fill="auto" w:val="clear"/>
          <w:vertAlign w:val="baseline"/>
        </w:rPr>
      </w:pPr>
      <w:r w:rsidDel="00000000" w:rsidR="00000000" w:rsidRPr="00000000">
        <w:rPr>
          <w:rtl w:val="0"/>
        </w:rPr>
        <w:t xml:space="preserve">Colleges are encouraged to match successful fund applications of up to a maximum of €5,000 for any one College.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2" w:line="256" w:lineRule="auto"/>
        <w:ind w:left="820" w:right="45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must be signed by the College Principal and all collaborating Heads of Schools, indicating acceptance of any award and a commitment to provide the necessary support for the programme of activity.</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2" w:line="256" w:lineRule="auto"/>
        <w:ind w:left="820" w:right="45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applicant has applied for funding/ has been awarded funding from another funding body for the same project, the applicant must make UCD EDI Unit aware of this.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8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The funds can only be used for the project and purpose specified in the application.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8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If the funding is not used within 12 months, please let us know whether an extension is required. Alternatively, funds not used should be returned to the UCD EDI Unit.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mid-year check-in between EDI and the award recipient will be scheduled.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Outputs of the project are to be presented in 12 months at a Gender Equality Action Group meeting and at the Athena Swan Chairs Network.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0"/>
          <w:numId w:val="4"/>
        </w:numPr>
        <w:tabs>
          <w:tab w:val="left" w:leader="none" w:pos="821"/>
        </w:tabs>
        <w:ind w:left="820" w:hanging="361"/>
        <w:rPr/>
      </w:pPr>
      <w:r w:rsidDel="00000000" w:rsidR="00000000" w:rsidRPr="00000000">
        <w:rPr>
          <w:rtl w:val="0"/>
        </w:rPr>
        <w:t xml:space="preserve">UCD Process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lead Schools chair/co-chairs of the School/College EDI/Gender Equality Implementation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4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must submit the application and cc’ relevant stakeholders.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4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applications should be submitted to </w:t>
      </w:r>
      <w:hyperlink r:id="rId9">
        <w:r w:rsidDel="00000000" w:rsidR="00000000" w:rsidRPr="00000000">
          <w:rPr>
            <w:rFonts w:ascii="Calibri" w:cs="Calibri" w:eastAsia="Calibri" w:hAnsi="Calibri"/>
            <w:b w:val="0"/>
            <w:i w:val="0"/>
            <w:smallCaps w:val="0"/>
            <w:strike w:val="0"/>
            <w:color w:val="0462c1"/>
            <w:sz w:val="22"/>
            <w:szCs w:val="22"/>
            <w:u w:val="single"/>
            <w:shd w:fill="auto" w:val="clear"/>
            <w:vertAlign w:val="baseline"/>
            <w:rtl w:val="0"/>
          </w:rPr>
          <w:t xml:space="preserve">edi@ucd.ie</w:t>
        </w:r>
      </w:hyperlink>
      <w:hyperlink r:id="rId10">
        <w:r w:rsidDel="00000000" w:rsidR="00000000" w:rsidRPr="00000000">
          <w:rPr>
            <w:rFonts w:ascii="Calibri" w:cs="Calibri" w:eastAsia="Calibri" w:hAnsi="Calibri"/>
            <w:b w:val="0"/>
            <w:i w:val="0"/>
            <w:smallCaps w:val="0"/>
            <w:strike w:val="0"/>
            <w:color w:val="0462c1"/>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include the following: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460" w:right="45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decisions will be made based on the following criteria by a panel chaired by Professor, Vice-President for EDI,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hair of the GEAG, Strategic EDI Manager,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EDI Project Officer and a nominee.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tbl>
      <w:tblPr>
        <w:tblStyle w:val="Table1"/>
        <w:tblW w:w="8930.0" w:type="dxa"/>
        <w:jc w:val="left"/>
        <w:tblInd w:w="5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94"/>
        <w:gridCol w:w="1520"/>
        <w:gridCol w:w="1416"/>
        <w:tblGridChange w:id="0">
          <w:tblGrid>
            <w:gridCol w:w="5994"/>
            <w:gridCol w:w="1520"/>
            <w:gridCol w:w="1416"/>
          </w:tblGrid>
        </w:tblGridChange>
      </w:tblGrid>
      <w:tr>
        <w:trPr>
          <w:cantSplit w:val="0"/>
          <w:trHeight w:val="537" w:hRule="atLeast"/>
          <w:tblHeader w:val="0"/>
        </w:trPr>
        <w:tc>
          <w:tcPr>
            <w:shd w:fill="d0cece"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Criterion</w:t>
            </w:r>
          </w:p>
        </w:tc>
        <w:tc>
          <w:tcPr>
            <w:shd w:fill="d0cece"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80" w:right="27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Score</w:t>
            </w:r>
          </w:p>
        </w:tc>
        <w:tc>
          <w:tcPr>
            <w:shd w:fill="d0cece"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68" w:right="26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70" w:right="26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w:t>
            </w:r>
          </w:p>
        </w:tc>
      </w:tr>
      <w:tr>
        <w:trPr>
          <w:cantSplit w:val="0"/>
          <w:trHeight w:val="537"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Alignment   with   School/College   level   Gender   Equality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Plan</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279" w:right="27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marks</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269" w:right="26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marks</w:t>
            </w:r>
          </w:p>
        </w:tc>
      </w:tr>
      <w:tr>
        <w:trPr>
          <w:cantSplit w:val="0"/>
          <w:trHeight w:val="537"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Alignment with the UCD Gender Equality Action Plan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EDI Strategy </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279" w:right="27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marks</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269" w:right="26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marks</w:t>
            </w:r>
          </w:p>
        </w:tc>
      </w:tr>
      <w:tr>
        <w:trPr>
          <w:cantSplit w:val="0"/>
          <w:trHeight w:val="1074"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9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Innovation in specified area of funding (advancing gender equality initiatives in UCD/ Athena SWAN capacity-building activities/ transforming gender and EDI research outputs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4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into practice)</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27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25marks</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26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marks</w:t>
            </w:r>
          </w:p>
        </w:tc>
      </w:tr>
      <w:tr>
        <w:trPr>
          <w:cantSplit w:val="0"/>
          <w:trHeight w:val="268"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Benefits to UCD</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80" w:right="27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marks</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69" w:right="26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marks</w:t>
            </w:r>
          </w:p>
        </w:tc>
      </w:tr>
      <w:tr>
        <w:trPr>
          <w:cantSplit w:val="0"/>
          <w:trHeight w:val="269"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Funding - value for money and impact of programme</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79" w:right="27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marks</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69" w:right="26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marks</w:t>
            </w:r>
          </w:p>
        </w:tc>
      </w:tr>
      <w:tr>
        <w:trPr>
          <w:cantSplit w:val="0"/>
          <w:trHeight w:val="268"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Quality of the Proposal</w:t>
            </w:r>
          </w:p>
        </w:tc>
        <w:tc>
          <w:tcPr/>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8.00000000000006" w:lineRule="auto"/>
              <w:ind w:left="639" w:right="273" w:hanging="360"/>
              <w:jc w:val="cente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marks</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15 marks</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58" w:right="4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 candidates will be invited to present the outputs of their pilot twelve months from the outcome announced by UCD EDI at the Athena Swan Chairs Network and to present to the Gender Equality Action Group on progress and outputs of the project.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58" w:right="4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58" w:right="4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must be signed by the College Principal and all collaborating Heads of Schools, indicating acceptance of any award and a commitment to provide the necessary support for the programme of activity.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V3. 30.08.2024</w:t>
      </w:r>
    </w:p>
    <w:sectPr>
      <w:type w:val="nextPage"/>
      <w:pgSz w:h="16840" w:w="11910" w:orient="portrait"/>
      <w:pgMar w:bottom="1120" w:top="1660" w:left="1340" w:right="980" w:header="562" w:footer="9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5676900</wp:posOffset>
              </wp:positionH>
              <wp:positionV relativeFrom="paragraph">
                <wp:posOffset>9906000</wp:posOffset>
              </wp:positionV>
              <wp:extent cx="156845" cy="175260"/>
              <wp:effectExtent b="0" l="0" r="0" t="0"/>
              <wp:wrapNone/>
              <wp:docPr id="1" name=""/>
              <a:graphic>
                <a:graphicData uri="http://schemas.microsoft.com/office/word/2010/wordprocessingShape">
                  <wps:wsp>
                    <wps:cNvSpPr/>
                    <wps:cNvPr id="2" name="Shape 2"/>
                    <wps:spPr>
                      <a:xfrm>
                        <a:off x="5272340" y="3697133"/>
                        <a:ext cx="1473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5676900</wp:posOffset>
              </wp:positionH>
              <wp:positionV relativeFrom="paragraph">
                <wp:posOffset>9906000</wp:posOffset>
              </wp:positionV>
              <wp:extent cx="156845" cy="17526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296284</wp:posOffset>
          </wp:positionH>
          <wp:positionV relativeFrom="page">
            <wp:posOffset>356665</wp:posOffset>
          </wp:positionV>
          <wp:extent cx="2529756" cy="45536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9756" cy="45536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Noto Sans Symbols" w:cs="Noto Sans Symbols" w:eastAsia="Noto Sans Symbols" w:hAnsi="Noto Sans Symbols"/>
        <w:sz w:val="22"/>
        <w:szCs w:val="22"/>
      </w:rPr>
    </w:lvl>
    <w:lvl w:ilvl="1">
      <w:start w:val="0"/>
      <w:numFmt w:val="bullet"/>
      <w:lvlText w:val="•"/>
      <w:lvlJc w:val="left"/>
      <w:pPr>
        <w:ind w:left="1696" w:hanging="360"/>
      </w:pPr>
      <w:rPr/>
    </w:lvl>
    <w:lvl w:ilvl="2">
      <w:start w:val="0"/>
      <w:numFmt w:val="bullet"/>
      <w:lvlText w:val="•"/>
      <w:lvlJc w:val="left"/>
      <w:pPr>
        <w:ind w:left="2573" w:hanging="360"/>
      </w:pPr>
      <w:rPr/>
    </w:lvl>
    <w:lvl w:ilvl="3">
      <w:start w:val="0"/>
      <w:numFmt w:val="bullet"/>
      <w:lvlText w:val="•"/>
      <w:lvlJc w:val="left"/>
      <w:pPr>
        <w:ind w:left="3449" w:hanging="360"/>
      </w:pPr>
      <w:rPr/>
    </w:lvl>
    <w:lvl w:ilvl="4">
      <w:start w:val="0"/>
      <w:numFmt w:val="bullet"/>
      <w:lvlText w:val="•"/>
      <w:lvlJc w:val="left"/>
      <w:pPr>
        <w:ind w:left="4326" w:hanging="360"/>
      </w:pPr>
      <w:rPr/>
    </w:lvl>
    <w:lvl w:ilvl="5">
      <w:start w:val="0"/>
      <w:numFmt w:val="bullet"/>
      <w:lvlText w:val="•"/>
      <w:lvlJc w:val="left"/>
      <w:pPr>
        <w:ind w:left="5203" w:hanging="360"/>
      </w:pPr>
      <w:rPr/>
    </w:lvl>
    <w:lvl w:ilvl="6">
      <w:start w:val="0"/>
      <w:numFmt w:val="bullet"/>
      <w:lvlText w:val="•"/>
      <w:lvlJc w:val="left"/>
      <w:pPr>
        <w:ind w:left="6079" w:hanging="360"/>
      </w:pPr>
      <w:rPr/>
    </w:lvl>
    <w:lvl w:ilvl="7">
      <w:start w:val="0"/>
      <w:numFmt w:val="bullet"/>
      <w:lvlText w:val="•"/>
      <w:lvlJc w:val="left"/>
      <w:pPr>
        <w:ind w:left="6956" w:hanging="360"/>
      </w:pPr>
      <w:rPr/>
    </w:lvl>
    <w:lvl w:ilvl="8">
      <w:start w:val="0"/>
      <w:numFmt w:val="bullet"/>
      <w:lvlText w:val="•"/>
      <w:lvlJc w:val="left"/>
      <w:pPr>
        <w:ind w:left="7833" w:hanging="360"/>
      </w:pPr>
      <w:rPr/>
    </w:lvl>
  </w:abstractNum>
  <w:abstractNum w:abstractNumId="2">
    <w:lvl w:ilvl="0">
      <w:start w:val="1"/>
      <w:numFmt w:val="decimal"/>
      <w:lvlText w:val="%1."/>
      <w:lvlJc w:val="left"/>
      <w:pPr>
        <w:ind w:left="820" w:hanging="360"/>
      </w:pPr>
      <w:rPr>
        <w:rFonts w:ascii="Calibri" w:cs="Calibri" w:eastAsia="Calibri" w:hAnsi="Calibri"/>
        <w:b w:val="1"/>
        <w:sz w:val="22"/>
        <w:szCs w:val="22"/>
      </w:rPr>
    </w:lvl>
    <w:lvl w:ilvl="1">
      <w:start w:val="0"/>
      <w:numFmt w:val="bullet"/>
      <w:lvlText w:val="•"/>
      <w:lvlJc w:val="left"/>
      <w:pPr>
        <w:ind w:left="1696" w:hanging="360"/>
      </w:pPr>
      <w:rPr/>
    </w:lvl>
    <w:lvl w:ilvl="2">
      <w:start w:val="0"/>
      <w:numFmt w:val="bullet"/>
      <w:lvlText w:val="•"/>
      <w:lvlJc w:val="left"/>
      <w:pPr>
        <w:ind w:left="2573" w:hanging="360"/>
      </w:pPr>
      <w:rPr/>
    </w:lvl>
    <w:lvl w:ilvl="3">
      <w:start w:val="0"/>
      <w:numFmt w:val="bullet"/>
      <w:lvlText w:val="•"/>
      <w:lvlJc w:val="left"/>
      <w:pPr>
        <w:ind w:left="3449" w:hanging="360"/>
      </w:pPr>
      <w:rPr/>
    </w:lvl>
    <w:lvl w:ilvl="4">
      <w:start w:val="0"/>
      <w:numFmt w:val="bullet"/>
      <w:lvlText w:val="•"/>
      <w:lvlJc w:val="left"/>
      <w:pPr>
        <w:ind w:left="4326" w:hanging="360"/>
      </w:pPr>
      <w:rPr/>
    </w:lvl>
    <w:lvl w:ilvl="5">
      <w:start w:val="0"/>
      <w:numFmt w:val="bullet"/>
      <w:lvlText w:val="•"/>
      <w:lvlJc w:val="left"/>
      <w:pPr>
        <w:ind w:left="5203" w:hanging="360"/>
      </w:pPr>
      <w:rPr/>
    </w:lvl>
    <w:lvl w:ilvl="6">
      <w:start w:val="0"/>
      <w:numFmt w:val="bullet"/>
      <w:lvlText w:val="•"/>
      <w:lvlJc w:val="left"/>
      <w:pPr>
        <w:ind w:left="6079" w:hanging="360"/>
      </w:pPr>
      <w:rPr/>
    </w:lvl>
    <w:lvl w:ilvl="7">
      <w:start w:val="0"/>
      <w:numFmt w:val="bullet"/>
      <w:lvlText w:val="•"/>
      <w:lvlJc w:val="left"/>
      <w:pPr>
        <w:ind w:left="6956" w:hanging="360"/>
      </w:pPr>
      <w:rPr/>
    </w:lvl>
    <w:lvl w:ilvl="8">
      <w:start w:val="0"/>
      <w:numFmt w:val="bullet"/>
      <w:lvlText w:val="•"/>
      <w:lvlJc w:val="left"/>
      <w:pPr>
        <w:ind w:left="7833" w:hanging="360"/>
      </w:pPr>
      <w:rPr/>
    </w:lvl>
  </w:abstractNum>
  <w:abstractNum w:abstractNumId="3">
    <w:lvl w:ilvl="0">
      <w:start w:val="20"/>
      <w:numFmt w:val="decimal"/>
      <w:lvlText w:val="%1"/>
      <w:lvlJc w:val="left"/>
      <w:pPr>
        <w:ind w:left="639" w:hanging="360"/>
      </w:pPr>
      <w:rPr/>
    </w:lvl>
    <w:lvl w:ilvl="1">
      <w:start w:val="1"/>
      <w:numFmt w:val="lowerLetter"/>
      <w:lvlText w:val="%2."/>
      <w:lvlJc w:val="left"/>
      <w:pPr>
        <w:ind w:left="1359" w:hanging="360"/>
      </w:pPr>
      <w:rPr/>
    </w:lvl>
    <w:lvl w:ilvl="2">
      <w:start w:val="1"/>
      <w:numFmt w:val="lowerRoman"/>
      <w:lvlText w:val="%3."/>
      <w:lvlJc w:val="right"/>
      <w:pPr>
        <w:ind w:left="2079" w:hanging="180"/>
      </w:pPr>
      <w:rPr/>
    </w:lvl>
    <w:lvl w:ilvl="3">
      <w:start w:val="1"/>
      <w:numFmt w:val="decimal"/>
      <w:lvlText w:val="%4."/>
      <w:lvlJc w:val="left"/>
      <w:pPr>
        <w:ind w:left="2799" w:hanging="360"/>
      </w:pPr>
      <w:rPr/>
    </w:lvl>
    <w:lvl w:ilvl="4">
      <w:start w:val="1"/>
      <w:numFmt w:val="lowerLetter"/>
      <w:lvlText w:val="%5."/>
      <w:lvlJc w:val="left"/>
      <w:pPr>
        <w:ind w:left="3519" w:hanging="360"/>
      </w:pPr>
      <w:rPr/>
    </w:lvl>
    <w:lvl w:ilvl="5">
      <w:start w:val="1"/>
      <w:numFmt w:val="lowerRoman"/>
      <w:lvlText w:val="%6."/>
      <w:lvlJc w:val="right"/>
      <w:pPr>
        <w:ind w:left="4239" w:hanging="180"/>
      </w:pPr>
      <w:rPr/>
    </w:lvl>
    <w:lvl w:ilvl="6">
      <w:start w:val="1"/>
      <w:numFmt w:val="decimal"/>
      <w:lvlText w:val="%7."/>
      <w:lvlJc w:val="left"/>
      <w:pPr>
        <w:ind w:left="4959" w:hanging="360"/>
      </w:pPr>
      <w:rPr/>
    </w:lvl>
    <w:lvl w:ilvl="7">
      <w:start w:val="1"/>
      <w:numFmt w:val="lowerLetter"/>
      <w:lvlText w:val="%8."/>
      <w:lvlJc w:val="left"/>
      <w:pPr>
        <w:ind w:left="5679" w:hanging="360"/>
      </w:pPr>
      <w:rPr/>
    </w:lvl>
    <w:lvl w:ilvl="8">
      <w:start w:val="1"/>
      <w:numFmt w:val="lowerRoman"/>
      <w:lvlText w:val="%9."/>
      <w:lvlJc w:val="right"/>
      <w:pPr>
        <w:ind w:left="6399" w:hanging="180"/>
      </w:pPr>
      <w:rPr/>
    </w:lvl>
  </w:abstractNum>
  <w:abstractNum w:abstractNumId="4">
    <w:lvl w:ilvl="0">
      <w:start w:val="5"/>
      <w:numFmt w:val="decimal"/>
      <w:lvlText w:val="%1."/>
      <w:lvlJc w:val="left"/>
      <w:pPr>
        <w:ind w:left="820" w:hanging="360"/>
      </w:pPr>
      <w:rPr>
        <w:rFonts w:ascii="Calibri" w:cs="Calibri" w:eastAsia="Calibri" w:hAnsi="Calibri"/>
        <w:b w:val="1"/>
        <w:sz w:val="22"/>
        <w:szCs w:val="22"/>
      </w:rPr>
    </w:lvl>
    <w:lvl w:ilvl="1">
      <w:start w:val="0"/>
      <w:numFmt w:val="bullet"/>
      <w:lvlText w:val="•"/>
      <w:lvlJc w:val="left"/>
      <w:pPr>
        <w:ind w:left="1696" w:hanging="360"/>
      </w:pPr>
      <w:rPr/>
    </w:lvl>
    <w:lvl w:ilvl="2">
      <w:start w:val="0"/>
      <w:numFmt w:val="bullet"/>
      <w:lvlText w:val="•"/>
      <w:lvlJc w:val="left"/>
      <w:pPr>
        <w:ind w:left="2573" w:hanging="360"/>
      </w:pPr>
      <w:rPr/>
    </w:lvl>
    <w:lvl w:ilvl="3">
      <w:start w:val="0"/>
      <w:numFmt w:val="bullet"/>
      <w:lvlText w:val="•"/>
      <w:lvlJc w:val="left"/>
      <w:pPr>
        <w:ind w:left="3449" w:hanging="360"/>
      </w:pPr>
      <w:rPr/>
    </w:lvl>
    <w:lvl w:ilvl="4">
      <w:start w:val="0"/>
      <w:numFmt w:val="bullet"/>
      <w:lvlText w:val="•"/>
      <w:lvlJc w:val="left"/>
      <w:pPr>
        <w:ind w:left="4326" w:hanging="360"/>
      </w:pPr>
      <w:rPr/>
    </w:lvl>
    <w:lvl w:ilvl="5">
      <w:start w:val="0"/>
      <w:numFmt w:val="bullet"/>
      <w:lvlText w:val="•"/>
      <w:lvlJc w:val="left"/>
      <w:pPr>
        <w:ind w:left="5203" w:hanging="360"/>
      </w:pPr>
      <w:rPr/>
    </w:lvl>
    <w:lvl w:ilvl="6">
      <w:start w:val="0"/>
      <w:numFmt w:val="bullet"/>
      <w:lvlText w:val="•"/>
      <w:lvlJc w:val="left"/>
      <w:pPr>
        <w:ind w:left="6079" w:hanging="360"/>
      </w:pPr>
      <w:rPr/>
    </w:lvl>
    <w:lvl w:ilvl="7">
      <w:start w:val="0"/>
      <w:numFmt w:val="bullet"/>
      <w:lvlText w:val="•"/>
      <w:lvlJc w:val="left"/>
      <w:pPr>
        <w:ind w:left="6956" w:hanging="360"/>
      </w:pPr>
      <w:rPr/>
    </w:lvl>
    <w:lvl w:ilvl="8">
      <w:start w:val="0"/>
      <w:numFmt w:val="bullet"/>
      <w:lvlText w:val="•"/>
      <w:lvlJc w:val="left"/>
      <w:pPr>
        <w:ind w:left="7833" w:hanging="360"/>
      </w:pPr>
      <w:rPr/>
    </w:lvl>
  </w:abstractNum>
  <w:abstractNum w:abstractNumId="5">
    <w:lvl w:ilvl="0">
      <w:start w:val="1"/>
      <w:numFmt w:val="decimal"/>
      <w:lvlText w:val="%1."/>
      <w:lvlJc w:val="left"/>
      <w:pPr>
        <w:ind w:left="820" w:hanging="360"/>
      </w:pPr>
      <w:rPr>
        <w:rFonts w:ascii="Calibri" w:cs="Calibri" w:eastAsia="Calibri" w:hAnsi="Calibri"/>
        <w:b w:val="1"/>
        <w:sz w:val="22"/>
        <w:szCs w:val="22"/>
      </w:rPr>
    </w:lvl>
    <w:lvl w:ilvl="1">
      <w:start w:val="0"/>
      <w:numFmt w:val="bullet"/>
      <w:lvlText w:val="•"/>
      <w:lvlJc w:val="left"/>
      <w:pPr>
        <w:ind w:left="1696" w:hanging="360"/>
      </w:pPr>
      <w:rPr/>
    </w:lvl>
    <w:lvl w:ilvl="2">
      <w:start w:val="0"/>
      <w:numFmt w:val="bullet"/>
      <w:lvlText w:val="•"/>
      <w:lvlJc w:val="left"/>
      <w:pPr>
        <w:ind w:left="2573" w:hanging="360"/>
      </w:pPr>
      <w:rPr/>
    </w:lvl>
    <w:lvl w:ilvl="3">
      <w:start w:val="0"/>
      <w:numFmt w:val="bullet"/>
      <w:lvlText w:val="•"/>
      <w:lvlJc w:val="left"/>
      <w:pPr>
        <w:ind w:left="3449" w:hanging="360"/>
      </w:pPr>
      <w:rPr/>
    </w:lvl>
    <w:lvl w:ilvl="4">
      <w:start w:val="0"/>
      <w:numFmt w:val="bullet"/>
      <w:lvlText w:val="•"/>
      <w:lvlJc w:val="left"/>
      <w:pPr>
        <w:ind w:left="4326" w:hanging="360"/>
      </w:pPr>
      <w:rPr/>
    </w:lvl>
    <w:lvl w:ilvl="5">
      <w:start w:val="0"/>
      <w:numFmt w:val="bullet"/>
      <w:lvlText w:val="•"/>
      <w:lvlJc w:val="left"/>
      <w:pPr>
        <w:ind w:left="5203" w:hanging="360"/>
      </w:pPr>
      <w:rPr/>
    </w:lvl>
    <w:lvl w:ilvl="6">
      <w:start w:val="0"/>
      <w:numFmt w:val="bullet"/>
      <w:lvlText w:val="•"/>
      <w:lvlJc w:val="left"/>
      <w:pPr>
        <w:ind w:left="6079" w:hanging="360"/>
      </w:pPr>
      <w:rPr/>
    </w:lvl>
    <w:lvl w:ilvl="7">
      <w:start w:val="0"/>
      <w:numFmt w:val="bullet"/>
      <w:lvlText w:val="•"/>
      <w:lvlJc w:val="left"/>
      <w:pPr>
        <w:ind w:left="6956" w:hanging="360"/>
      </w:pPr>
      <w:rPr/>
    </w:lvl>
    <w:lvl w:ilvl="8">
      <w:start w:val="0"/>
      <w:numFmt w:val="bullet"/>
      <w:lvlText w:val="•"/>
      <w:lvlJc w:val="left"/>
      <w:pPr>
        <w:ind w:left="7833" w:hanging="360"/>
      </w:pPr>
      <w:rPr/>
    </w:lvl>
  </w:abstractNum>
  <w:abstractNum w:abstractNumId="6">
    <w:lvl w:ilvl="0">
      <w:start w:val="0"/>
      <w:numFmt w:val="bullet"/>
      <w:lvlText w:val="●"/>
      <w:lvlJc w:val="left"/>
      <w:pPr>
        <w:ind w:left="885" w:hanging="360"/>
      </w:pPr>
      <w:rPr>
        <w:rFonts w:ascii="Noto Sans Symbols" w:cs="Noto Sans Symbols" w:eastAsia="Noto Sans Symbols" w:hAnsi="Noto Sans Symbols"/>
        <w:sz w:val="22"/>
        <w:szCs w:val="22"/>
      </w:rPr>
    </w:lvl>
    <w:lvl w:ilvl="1">
      <w:start w:val="0"/>
      <w:numFmt w:val="bullet"/>
      <w:lvlText w:val="•"/>
      <w:lvlJc w:val="left"/>
      <w:pPr>
        <w:ind w:left="1750" w:hanging="360"/>
      </w:pPr>
      <w:rPr/>
    </w:lvl>
    <w:lvl w:ilvl="2">
      <w:start w:val="0"/>
      <w:numFmt w:val="bullet"/>
      <w:lvlText w:val="•"/>
      <w:lvlJc w:val="left"/>
      <w:pPr>
        <w:ind w:left="2621" w:hanging="360"/>
      </w:pPr>
      <w:rPr/>
    </w:lvl>
    <w:lvl w:ilvl="3">
      <w:start w:val="0"/>
      <w:numFmt w:val="bullet"/>
      <w:lvlText w:val="•"/>
      <w:lvlJc w:val="left"/>
      <w:pPr>
        <w:ind w:left="3491" w:hanging="360"/>
      </w:pPr>
      <w:rPr/>
    </w:lvl>
    <w:lvl w:ilvl="4">
      <w:start w:val="0"/>
      <w:numFmt w:val="bullet"/>
      <w:lvlText w:val="•"/>
      <w:lvlJc w:val="left"/>
      <w:pPr>
        <w:ind w:left="4362" w:hanging="360"/>
      </w:pPr>
      <w:rPr/>
    </w:lvl>
    <w:lvl w:ilvl="5">
      <w:start w:val="0"/>
      <w:numFmt w:val="bullet"/>
      <w:lvlText w:val="•"/>
      <w:lvlJc w:val="left"/>
      <w:pPr>
        <w:ind w:left="5233" w:hanging="360"/>
      </w:pPr>
      <w:rPr/>
    </w:lvl>
    <w:lvl w:ilvl="6">
      <w:start w:val="0"/>
      <w:numFmt w:val="bullet"/>
      <w:lvlText w:val="•"/>
      <w:lvlJc w:val="left"/>
      <w:pPr>
        <w:ind w:left="6103" w:hanging="360"/>
      </w:pPr>
      <w:rPr/>
    </w:lvl>
    <w:lvl w:ilvl="7">
      <w:start w:val="0"/>
      <w:numFmt w:val="bullet"/>
      <w:lvlText w:val="•"/>
      <w:lvlJc w:val="left"/>
      <w:pPr>
        <w:ind w:left="6974" w:hanging="360"/>
      </w:pPr>
      <w:rPr/>
    </w:lvl>
    <w:lvl w:ilvl="8">
      <w:start w:val="0"/>
      <w:numFmt w:val="bullet"/>
      <w:lvlText w:val="•"/>
      <w:lvlJc w:val="left"/>
      <w:pPr>
        <w:ind w:left="7845"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0" w:hanging="36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di@ucd.ie" TargetMode="External"/><Relationship Id="rId9" Type="http://schemas.openxmlformats.org/officeDocument/2006/relationships/hyperlink" Target="mailto:edi@ucd.ie"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2023-09-18T00:00:00Z</vt:lpwstr>
  </property>
  <property fmtid="{D5CDD505-2E9C-101B-9397-08002B2CF9AE}" pid="3" name="Creator">
    <vt:lpwstr>Microsoft® Word for Microsoft 365</vt:lpwstr>
  </property>
  <property fmtid="{D5CDD505-2E9C-101B-9397-08002B2CF9AE}" pid="4" name="LastSaved">
    <vt:lpwstr>2024-08-30T00:00:00Z</vt:lpwstr>
  </property>
</Properties>
</file>